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1EB5" w14:textId="77777777" w:rsidR="00F36173" w:rsidRDefault="00F36173" w:rsidP="00F36173">
      <w:pPr>
        <w:jc w:val="center"/>
        <w:rPr>
          <w:rFonts w:ascii="Arial" w:hAnsi="Arial" w:cs="Arial"/>
          <w:b/>
          <w:sz w:val="24"/>
          <w:szCs w:val="24"/>
          <w:u w:val="single"/>
        </w:rPr>
      </w:pPr>
      <w:r>
        <w:rPr>
          <w:rFonts w:ascii="Arial" w:hAnsi="Arial" w:cs="Arial"/>
          <w:b/>
          <w:sz w:val="24"/>
          <w:szCs w:val="24"/>
          <w:u w:val="single"/>
        </w:rPr>
        <w:t>Appendix to Section 1 – Annual Governance Statement 2017-18</w:t>
      </w:r>
    </w:p>
    <w:p w14:paraId="2EEFDF72" w14:textId="6FA6F141" w:rsidR="00F36173" w:rsidRDefault="00F36173" w:rsidP="00F36173">
      <w:pPr>
        <w:jc w:val="center"/>
        <w:rPr>
          <w:rFonts w:ascii="Arial" w:hAnsi="Arial" w:cs="Arial"/>
          <w:b/>
          <w:sz w:val="24"/>
          <w:szCs w:val="24"/>
          <w:u w:val="single"/>
        </w:rPr>
      </w:pPr>
    </w:p>
    <w:p w14:paraId="72823F6C" w14:textId="3F58F67C" w:rsidR="00F36173" w:rsidRDefault="00F36173" w:rsidP="00F36173">
      <w:pPr>
        <w:rPr>
          <w:rFonts w:ascii="Arial" w:hAnsi="Arial" w:cs="Arial"/>
          <w:i/>
          <w:sz w:val="24"/>
          <w:szCs w:val="24"/>
        </w:rPr>
      </w:pPr>
      <w:r>
        <w:rPr>
          <w:rFonts w:ascii="Arial" w:hAnsi="Arial" w:cs="Arial"/>
          <w:sz w:val="24"/>
          <w:szCs w:val="24"/>
        </w:rPr>
        <w:t xml:space="preserve">Box 2 – </w:t>
      </w:r>
      <w:r>
        <w:rPr>
          <w:rFonts w:ascii="Arial" w:hAnsi="Arial" w:cs="Arial"/>
          <w:i/>
          <w:sz w:val="24"/>
          <w:szCs w:val="24"/>
        </w:rPr>
        <w:t>We maintained an adequate system of internal control including measures designed to prevent and detect fraud and corruption &amp; reviewed its effectiveness</w:t>
      </w:r>
    </w:p>
    <w:p w14:paraId="52F4C850" w14:textId="1049FC89" w:rsidR="00F36173" w:rsidRDefault="00F36173" w:rsidP="00F36173">
      <w:pPr>
        <w:rPr>
          <w:rFonts w:ascii="Arial" w:hAnsi="Arial" w:cs="Arial"/>
          <w:sz w:val="24"/>
          <w:szCs w:val="24"/>
        </w:rPr>
      </w:pPr>
      <w:r>
        <w:rPr>
          <w:rFonts w:ascii="Arial" w:hAnsi="Arial" w:cs="Arial"/>
          <w:sz w:val="24"/>
          <w:szCs w:val="24"/>
        </w:rPr>
        <w:t>Box 2 was ticked ‘No’</w:t>
      </w:r>
    </w:p>
    <w:p w14:paraId="0169DDBA" w14:textId="7322B503" w:rsidR="00F36173" w:rsidRPr="00F36173" w:rsidRDefault="00F36173" w:rsidP="00F36173">
      <w:pPr>
        <w:rPr>
          <w:rFonts w:ascii="Arial" w:hAnsi="Arial" w:cs="Arial"/>
          <w:sz w:val="24"/>
          <w:szCs w:val="24"/>
        </w:rPr>
      </w:pPr>
      <w:r>
        <w:rPr>
          <w:rFonts w:ascii="Arial" w:hAnsi="Arial" w:cs="Arial"/>
          <w:sz w:val="24"/>
          <w:szCs w:val="24"/>
        </w:rPr>
        <w:t xml:space="preserve">The internal auditor’s report drew our attention to the fact that many cheque stubs were not initialled by two Councillors. The RFO will ensure that all cheque stubs and relating invoices will be initialled by two Councillors going forward.  </w:t>
      </w:r>
      <w:bookmarkStart w:id="0" w:name="_GoBack"/>
      <w:bookmarkEnd w:id="0"/>
    </w:p>
    <w:sectPr w:rsidR="00F36173" w:rsidRPr="00F3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73"/>
    <w:rsid w:val="00F3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B75E"/>
  <w15:chartTrackingRefBased/>
  <w15:docId w15:val="{56B1EB4D-3C5C-4173-9A9F-88C2C07C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2018-05-02T10:17:00Z</dcterms:created>
  <dcterms:modified xsi:type="dcterms:W3CDTF">2018-05-02T10:21:00Z</dcterms:modified>
</cp:coreProperties>
</file>